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313305" cy="307975"/>
            <wp:effectExtent l="0" t="0" r="10795" b="15875"/>
            <wp:docPr id="4" name="图片 1" descr="说明: id:2147495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说明: id:214749500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7" name="图片 17" descr="说明: id:2147495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id:214749521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  <w:rPr>
          <w:rFonts w:eastAsia="方正仿宋_GBK"/>
        </w:rPr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教学时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通过沟通不同解决方法之间的联系</w:t>
      </w: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图解、加法解、乘法解</w:t>
      </w:r>
      <w:r>
        <w:rPr>
          <w:rFonts w:ascii="方正仿宋_GBK" w:hAnsi="方正仿宋_GBK"/>
        </w:rPr>
        <w:t>),</w:t>
      </w:r>
      <w:r>
        <w:rPr>
          <w:rFonts w:hint="eastAsia" w:eastAsia="方正仿宋_GBK"/>
        </w:rPr>
        <w:t>将整数乘法迁移到分</w:t>
      </w:r>
      <w:bookmarkStart w:id="0" w:name="_GoBack"/>
      <w:bookmarkEnd w:id="0"/>
      <w:r>
        <w:drawing>
          <wp:inline distT="0" distB="0" distL="114300" distR="114300">
            <wp:extent cx="5485130" cy="325755"/>
            <wp:effectExtent l="0" t="0" r="1270" b="171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方正仿宋_GBK"/>
        </w:rPr>
        <w:t>用分数乘整数的意义解释计算的过程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使学生理解计算的道理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初步感知挖掘数学概念本身方法的重要性。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要尽量引导学生自己多思考、多表达。学生做得对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就让他们自己说说是怎么想的</w:t>
      </w:r>
      <w:r>
        <w:rPr>
          <w:rFonts w:ascii="方正仿宋_GBK" w:hAnsi="方正仿宋_GBK"/>
        </w:rPr>
        <w:t>;</w:t>
      </w:r>
      <w:r>
        <w:rPr>
          <w:rFonts w:hint="eastAsia" w:eastAsia="方正仿宋_GBK"/>
        </w:rPr>
        <w:t>学生做得不对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就把错误指出来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让全体学生引以为戒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从而使犯错误的同学对错误的认识更加深刻。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52C10"/>
    <w:rsid w:val="3CC5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2018-08-15T08:47:00Z</dcterms:created>
  <dc:creator>123</dc:creator>
  <cp:lastModifiedBy>123</cp:lastModifiedBy>
  <dcterms:modified xsi:type="dcterms:W3CDTF">2018-08-15T08:48:51Z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